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87" w:rsidRPr="004A3856" w:rsidRDefault="004A3856" w:rsidP="00495087">
      <w:pPr>
        <w:jc w:val="center"/>
        <w:rPr>
          <w:rFonts w:ascii="Calibri" w:hAnsi="Calibri"/>
          <w:b/>
          <w:bCs/>
          <w:color w:val="365F91" w:themeColor="accent1" w:themeShade="BF"/>
          <w:sz w:val="36"/>
          <w:szCs w:val="36"/>
        </w:rPr>
      </w:pPr>
      <w:r>
        <w:rPr>
          <w:rFonts w:ascii="Calibri" w:hAnsi="Calibri"/>
          <w:b/>
          <w:bCs/>
          <w:color w:val="365F91" w:themeColor="accent1" w:themeShade="BF"/>
          <w:sz w:val="36"/>
          <w:szCs w:val="36"/>
        </w:rPr>
        <w:t>Bullying and Harassment Advisor</w:t>
      </w:r>
    </w:p>
    <w:p w:rsidR="00495087" w:rsidRPr="004A3856" w:rsidRDefault="004A3856" w:rsidP="00495087">
      <w:pPr>
        <w:jc w:val="center"/>
        <w:rPr>
          <w:rFonts w:ascii="Calibri" w:hAnsi="Calibri"/>
          <w:b/>
          <w:bCs/>
          <w:color w:val="365F91" w:themeColor="accent1" w:themeShade="BF"/>
          <w:sz w:val="36"/>
          <w:szCs w:val="36"/>
        </w:rPr>
      </w:pPr>
      <w:r>
        <w:rPr>
          <w:rFonts w:ascii="Calibri" w:hAnsi="Calibri"/>
          <w:b/>
          <w:bCs/>
          <w:color w:val="365F91" w:themeColor="accent1" w:themeShade="BF"/>
          <w:sz w:val="36"/>
          <w:szCs w:val="36"/>
        </w:rPr>
        <w:t xml:space="preserve">Suggested </w:t>
      </w:r>
      <w:bookmarkStart w:id="0" w:name="_GoBack"/>
      <w:bookmarkEnd w:id="0"/>
      <w:r w:rsidR="00495087" w:rsidRPr="004A3856">
        <w:rPr>
          <w:rFonts w:ascii="Calibri" w:hAnsi="Calibri"/>
          <w:b/>
          <w:bCs/>
          <w:color w:val="365F91" w:themeColor="accent1" w:themeShade="BF"/>
          <w:sz w:val="36"/>
          <w:szCs w:val="36"/>
        </w:rPr>
        <w:t>Role Description</w:t>
      </w:r>
    </w:p>
    <w:p w:rsidR="00495087" w:rsidRPr="00100DAB" w:rsidRDefault="00495087" w:rsidP="00495087">
      <w:pPr>
        <w:rPr>
          <w:rFonts w:ascii="Calibri" w:hAnsi="Calibri"/>
          <w:b/>
          <w:bCs/>
          <w:sz w:val="28"/>
          <w:szCs w:val="28"/>
        </w:rPr>
      </w:pPr>
    </w:p>
    <w:p w:rsidR="00495087" w:rsidRPr="00100DAB" w:rsidRDefault="00495087" w:rsidP="00495087">
      <w:pPr>
        <w:rPr>
          <w:rFonts w:ascii="Calibri" w:hAnsi="Calibri"/>
          <w:sz w:val="28"/>
          <w:szCs w:val="28"/>
        </w:rPr>
      </w:pPr>
    </w:p>
    <w:p w:rsidR="00495087" w:rsidRPr="004A3856" w:rsidRDefault="00495087" w:rsidP="009811B5">
      <w:pPr>
        <w:spacing w:line="276" w:lineRule="auto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  <w:r w:rsidRPr="004A3856">
        <w:rPr>
          <w:rFonts w:ascii="Calibri" w:hAnsi="Calibri"/>
          <w:b/>
          <w:bCs/>
          <w:color w:val="365F91" w:themeColor="accent1" w:themeShade="BF"/>
          <w:sz w:val="28"/>
          <w:szCs w:val="28"/>
        </w:rPr>
        <w:t>Purpose of the role:</w:t>
      </w:r>
    </w:p>
    <w:p w:rsidR="00495087" w:rsidRPr="00100DAB" w:rsidRDefault="00495087" w:rsidP="009811B5">
      <w:pPr>
        <w:spacing w:line="276" w:lineRule="auto"/>
        <w:rPr>
          <w:rFonts w:ascii="Calibri" w:hAnsi="Calibri"/>
          <w:sz w:val="28"/>
          <w:szCs w:val="28"/>
        </w:rPr>
      </w:pPr>
    </w:p>
    <w:p w:rsidR="00495087" w:rsidRDefault="00495087" w:rsidP="009811B5">
      <w:pPr>
        <w:spacing w:line="276" w:lineRule="auto"/>
        <w:rPr>
          <w:rFonts w:ascii="Calibri" w:hAnsi="Calibri"/>
          <w:sz w:val="28"/>
          <w:szCs w:val="28"/>
        </w:rPr>
      </w:pPr>
      <w:r w:rsidRPr="00835AA5">
        <w:rPr>
          <w:rFonts w:ascii="Calibri" w:hAnsi="Calibri"/>
          <w:sz w:val="28"/>
          <w:szCs w:val="28"/>
        </w:rPr>
        <w:t xml:space="preserve">To provide, on a voluntary basis, </w:t>
      </w:r>
      <w:r>
        <w:rPr>
          <w:rFonts w:ascii="Calibri" w:hAnsi="Calibri"/>
          <w:sz w:val="28"/>
          <w:szCs w:val="28"/>
        </w:rPr>
        <w:t xml:space="preserve">face to face </w:t>
      </w:r>
      <w:r w:rsidRPr="00835AA5">
        <w:rPr>
          <w:rFonts w:ascii="Calibri" w:hAnsi="Calibri"/>
          <w:sz w:val="28"/>
          <w:szCs w:val="28"/>
        </w:rPr>
        <w:t xml:space="preserve">confidential advice and support to </w:t>
      </w:r>
      <w:r>
        <w:rPr>
          <w:rFonts w:ascii="Calibri" w:hAnsi="Calibri"/>
          <w:sz w:val="28"/>
          <w:szCs w:val="28"/>
        </w:rPr>
        <w:t>employees</w:t>
      </w:r>
      <w:r w:rsidRPr="00835AA5">
        <w:rPr>
          <w:rFonts w:ascii="Calibri" w:hAnsi="Calibri"/>
          <w:sz w:val="28"/>
          <w:szCs w:val="28"/>
        </w:rPr>
        <w:t xml:space="preserve"> who believe they are involved in one or more incident(s) of bullying or harassment, whether as the subject, the alleged perpetrator or the witness.</w:t>
      </w:r>
    </w:p>
    <w:p w:rsidR="00495087" w:rsidRPr="00100DAB" w:rsidRDefault="00495087" w:rsidP="009811B5">
      <w:pPr>
        <w:spacing w:line="276" w:lineRule="auto"/>
        <w:rPr>
          <w:rFonts w:ascii="Calibri" w:hAnsi="Calibri"/>
          <w:sz w:val="28"/>
          <w:szCs w:val="28"/>
        </w:rPr>
      </w:pPr>
    </w:p>
    <w:p w:rsidR="00495087" w:rsidRPr="004A3856" w:rsidRDefault="00495087" w:rsidP="009811B5">
      <w:pPr>
        <w:spacing w:line="276" w:lineRule="auto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  <w:r w:rsidRPr="004A3856">
        <w:rPr>
          <w:rFonts w:ascii="Calibri" w:hAnsi="Calibri"/>
          <w:b/>
          <w:bCs/>
          <w:color w:val="365F91" w:themeColor="accent1" w:themeShade="BF"/>
          <w:sz w:val="28"/>
          <w:szCs w:val="28"/>
        </w:rPr>
        <w:t>Main Responsibilities</w:t>
      </w:r>
    </w:p>
    <w:p w:rsidR="00495087" w:rsidRPr="00100DAB" w:rsidRDefault="00495087" w:rsidP="009811B5">
      <w:pPr>
        <w:spacing w:line="276" w:lineRule="auto"/>
        <w:rPr>
          <w:rFonts w:ascii="Calibri" w:hAnsi="Calibri"/>
          <w:sz w:val="28"/>
          <w:szCs w:val="28"/>
        </w:rPr>
      </w:pPr>
    </w:p>
    <w:p w:rsidR="00495087" w:rsidRDefault="00495087" w:rsidP="009811B5">
      <w:pPr>
        <w:numPr>
          <w:ilvl w:val="0"/>
          <w:numId w:val="1"/>
        </w:numPr>
        <w:spacing w:line="276" w:lineRule="auto"/>
        <w:rPr>
          <w:rFonts w:ascii="Calibri" w:hAnsi="Calibri"/>
          <w:sz w:val="28"/>
          <w:szCs w:val="28"/>
        </w:rPr>
      </w:pPr>
      <w:r w:rsidRPr="00835AA5">
        <w:rPr>
          <w:rFonts w:ascii="Calibri" w:hAnsi="Calibri"/>
          <w:sz w:val="28"/>
          <w:szCs w:val="28"/>
        </w:rPr>
        <w:t>To listen carefully</w:t>
      </w:r>
      <w:r>
        <w:rPr>
          <w:rFonts w:ascii="Calibri" w:hAnsi="Calibri"/>
          <w:sz w:val="28"/>
          <w:szCs w:val="28"/>
        </w:rPr>
        <w:t>, show respect</w:t>
      </w:r>
      <w:r w:rsidRPr="00835AA5">
        <w:rPr>
          <w:rFonts w:ascii="Calibri" w:hAnsi="Calibri"/>
          <w:sz w:val="28"/>
          <w:szCs w:val="28"/>
        </w:rPr>
        <w:t xml:space="preserve"> and allow people the space and time to explore their issues in a safe and confidential environment</w:t>
      </w:r>
      <w:r>
        <w:rPr>
          <w:rFonts w:ascii="Calibri" w:hAnsi="Calibri"/>
          <w:sz w:val="28"/>
          <w:szCs w:val="28"/>
        </w:rPr>
        <w:t xml:space="preserve"> </w:t>
      </w:r>
      <w:r w:rsidR="009811B5">
        <w:rPr>
          <w:rFonts w:ascii="Calibri" w:hAnsi="Calibri"/>
          <w:sz w:val="28"/>
          <w:szCs w:val="28"/>
        </w:rPr>
        <w:t>w</w:t>
      </w:r>
      <w:r>
        <w:rPr>
          <w:rFonts w:ascii="Calibri" w:hAnsi="Calibri"/>
          <w:sz w:val="28"/>
          <w:szCs w:val="28"/>
        </w:rPr>
        <w:t>here both the employee and advisor will not be disturbed or interrupted</w:t>
      </w:r>
    </w:p>
    <w:p w:rsidR="00495087" w:rsidRPr="00100DAB" w:rsidRDefault="00495087" w:rsidP="009811B5">
      <w:pPr>
        <w:numPr>
          <w:ilvl w:val="0"/>
          <w:numId w:val="1"/>
        </w:numPr>
        <w:spacing w:line="276" w:lineRule="auto"/>
        <w:rPr>
          <w:rFonts w:ascii="Calibri" w:hAnsi="Calibri"/>
          <w:sz w:val="28"/>
          <w:szCs w:val="28"/>
        </w:rPr>
      </w:pPr>
      <w:r w:rsidRPr="00835AA5">
        <w:rPr>
          <w:rFonts w:ascii="Calibri" w:hAnsi="Calibri"/>
          <w:sz w:val="28"/>
          <w:szCs w:val="28"/>
        </w:rPr>
        <w:t>Through a range of questioning/active listening techniques, to help them identify the key points and explore what action they might want to take.</w:t>
      </w:r>
    </w:p>
    <w:p w:rsidR="00495087" w:rsidRPr="00100DAB" w:rsidRDefault="00495087" w:rsidP="009811B5">
      <w:pPr>
        <w:numPr>
          <w:ilvl w:val="0"/>
          <w:numId w:val="1"/>
        </w:numPr>
        <w:spacing w:line="276" w:lineRule="auto"/>
        <w:rPr>
          <w:rFonts w:ascii="Calibri" w:hAnsi="Calibri"/>
          <w:sz w:val="28"/>
          <w:szCs w:val="28"/>
        </w:rPr>
      </w:pPr>
      <w:r w:rsidRPr="00835AA5">
        <w:rPr>
          <w:rFonts w:ascii="Calibri" w:hAnsi="Calibri"/>
          <w:sz w:val="28"/>
          <w:szCs w:val="28"/>
        </w:rPr>
        <w:t>To give guidance on the range of support services and options available to them, how these might work</w:t>
      </w:r>
      <w:r>
        <w:rPr>
          <w:rFonts w:ascii="Calibri" w:hAnsi="Calibri"/>
          <w:sz w:val="28"/>
          <w:szCs w:val="28"/>
        </w:rPr>
        <w:t>,</w:t>
      </w:r>
      <w:r w:rsidRPr="00835AA5">
        <w:rPr>
          <w:rFonts w:ascii="Calibri" w:hAnsi="Calibri"/>
          <w:sz w:val="28"/>
          <w:szCs w:val="28"/>
        </w:rPr>
        <w:t xml:space="preserve"> what the ‘next steps’ might be and their implications, including informal and formal action.</w:t>
      </w:r>
    </w:p>
    <w:p w:rsidR="00495087" w:rsidRDefault="00495087" w:rsidP="009811B5">
      <w:pPr>
        <w:numPr>
          <w:ilvl w:val="0"/>
          <w:numId w:val="1"/>
        </w:numPr>
        <w:spacing w:line="276" w:lineRule="auto"/>
        <w:rPr>
          <w:rFonts w:ascii="Calibri" w:hAnsi="Calibri"/>
          <w:sz w:val="28"/>
          <w:szCs w:val="28"/>
        </w:rPr>
      </w:pPr>
      <w:r w:rsidRPr="00835AA5">
        <w:rPr>
          <w:rFonts w:ascii="Calibri" w:hAnsi="Calibri"/>
          <w:sz w:val="28"/>
          <w:szCs w:val="28"/>
        </w:rPr>
        <w:t>In exceptional circumstances, and in respect of employees only, where the actions following discussions with th</w:t>
      </w:r>
      <w:r>
        <w:rPr>
          <w:rFonts w:ascii="Calibri" w:hAnsi="Calibri"/>
          <w:sz w:val="28"/>
          <w:szCs w:val="28"/>
        </w:rPr>
        <w:t>e Bullying and Harassment Adviso</w:t>
      </w:r>
      <w:r w:rsidRPr="00835AA5">
        <w:rPr>
          <w:rFonts w:ascii="Calibri" w:hAnsi="Calibri"/>
          <w:sz w:val="28"/>
          <w:szCs w:val="28"/>
        </w:rPr>
        <w:t xml:space="preserve">r have not resulted in a satisfactory outcome, the Adviser may take the case direct to </w:t>
      </w:r>
      <w:r>
        <w:rPr>
          <w:rFonts w:ascii="Calibri" w:hAnsi="Calibri"/>
          <w:sz w:val="28"/>
          <w:szCs w:val="28"/>
        </w:rPr>
        <w:t>HR</w:t>
      </w:r>
      <w:r w:rsidRPr="00835AA5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  <w:r w:rsidRPr="00835AA5">
        <w:rPr>
          <w:rFonts w:ascii="Calibri" w:hAnsi="Calibri"/>
          <w:sz w:val="28"/>
          <w:szCs w:val="28"/>
        </w:rPr>
        <w:t xml:space="preserve"> This must be with the expressed permission of the </w:t>
      </w:r>
      <w:r>
        <w:rPr>
          <w:rFonts w:ascii="Calibri" w:hAnsi="Calibri"/>
          <w:sz w:val="28"/>
          <w:szCs w:val="28"/>
        </w:rPr>
        <w:t>employee who has sought advice.</w:t>
      </w:r>
    </w:p>
    <w:p w:rsidR="00495087" w:rsidRPr="00100DAB" w:rsidRDefault="00495087" w:rsidP="009811B5">
      <w:pPr>
        <w:numPr>
          <w:ilvl w:val="0"/>
          <w:numId w:val="1"/>
        </w:numPr>
        <w:spacing w:line="276" w:lineRule="auto"/>
        <w:rPr>
          <w:rFonts w:ascii="Calibri" w:hAnsi="Calibri"/>
          <w:sz w:val="28"/>
          <w:szCs w:val="28"/>
        </w:rPr>
      </w:pPr>
      <w:r w:rsidRPr="00835AA5">
        <w:rPr>
          <w:rFonts w:ascii="Calibri" w:hAnsi="Calibri"/>
          <w:sz w:val="28"/>
          <w:szCs w:val="28"/>
        </w:rPr>
        <w:t xml:space="preserve">The advisor must avoid: </w:t>
      </w:r>
    </w:p>
    <w:p w:rsidR="00495087" w:rsidRPr="00100DAB" w:rsidRDefault="00495087" w:rsidP="009811B5">
      <w:pPr>
        <w:numPr>
          <w:ilvl w:val="0"/>
          <w:numId w:val="4"/>
        </w:numPr>
        <w:spacing w:line="276" w:lineRule="auto"/>
        <w:rPr>
          <w:rFonts w:ascii="Calibri" w:hAnsi="Calibri"/>
          <w:sz w:val="28"/>
          <w:szCs w:val="28"/>
        </w:rPr>
      </w:pPr>
      <w:r w:rsidRPr="00835AA5">
        <w:rPr>
          <w:rFonts w:ascii="Calibri" w:hAnsi="Calibri"/>
          <w:sz w:val="28"/>
          <w:szCs w:val="28"/>
        </w:rPr>
        <w:t xml:space="preserve">making a judgement on whether a case is bullying or harassment, or on any person’s ‘guilt’; </w:t>
      </w:r>
    </w:p>
    <w:p w:rsidR="00495087" w:rsidRPr="00100DAB" w:rsidRDefault="00495087" w:rsidP="009811B5">
      <w:pPr>
        <w:numPr>
          <w:ilvl w:val="0"/>
          <w:numId w:val="4"/>
        </w:numPr>
        <w:spacing w:line="276" w:lineRule="auto"/>
        <w:rPr>
          <w:rFonts w:ascii="Calibri" w:hAnsi="Calibri"/>
          <w:sz w:val="28"/>
          <w:szCs w:val="28"/>
        </w:rPr>
      </w:pPr>
      <w:r w:rsidRPr="00835AA5">
        <w:rPr>
          <w:rFonts w:ascii="Calibri" w:hAnsi="Calibri"/>
          <w:sz w:val="28"/>
          <w:szCs w:val="28"/>
        </w:rPr>
        <w:t xml:space="preserve">making decisions for the </w:t>
      </w:r>
      <w:r>
        <w:rPr>
          <w:rFonts w:ascii="Calibri" w:hAnsi="Calibri"/>
          <w:sz w:val="28"/>
          <w:szCs w:val="28"/>
        </w:rPr>
        <w:t>employee</w:t>
      </w:r>
      <w:r w:rsidRPr="00835AA5">
        <w:rPr>
          <w:rFonts w:ascii="Calibri" w:hAnsi="Calibri"/>
          <w:sz w:val="28"/>
          <w:szCs w:val="28"/>
        </w:rPr>
        <w:t xml:space="preserve">; </w:t>
      </w:r>
    </w:p>
    <w:p w:rsidR="00495087" w:rsidRPr="00100DAB" w:rsidRDefault="00495087" w:rsidP="009811B5">
      <w:pPr>
        <w:numPr>
          <w:ilvl w:val="0"/>
          <w:numId w:val="4"/>
        </w:numPr>
        <w:spacing w:line="276" w:lineRule="auto"/>
        <w:rPr>
          <w:rFonts w:ascii="Calibri" w:hAnsi="Calibri"/>
          <w:sz w:val="28"/>
          <w:szCs w:val="28"/>
        </w:rPr>
      </w:pPr>
      <w:r w:rsidRPr="00835AA5">
        <w:rPr>
          <w:rFonts w:ascii="Calibri" w:hAnsi="Calibri"/>
          <w:sz w:val="28"/>
          <w:szCs w:val="28"/>
        </w:rPr>
        <w:t xml:space="preserve">undertake any kind of investigation; </w:t>
      </w:r>
    </w:p>
    <w:p w:rsidR="00495087" w:rsidRPr="00100DAB" w:rsidRDefault="00495087" w:rsidP="009811B5">
      <w:pPr>
        <w:numPr>
          <w:ilvl w:val="0"/>
          <w:numId w:val="4"/>
        </w:numPr>
        <w:spacing w:line="276" w:lineRule="auto"/>
        <w:rPr>
          <w:rFonts w:ascii="Calibri" w:hAnsi="Calibri"/>
          <w:sz w:val="28"/>
          <w:szCs w:val="28"/>
        </w:rPr>
      </w:pPr>
      <w:r w:rsidRPr="00835AA5">
        <w:rPr>
          <w:rFonts w:ascii="Calibri" w:hAnsi="Calibri"/>
          <w:sz w:val="28"/>
          <w:szCs w:val="28"/>
        </w:rPr>
        <w:t xml:space="preserve">provide formal counselling; </w:t>
      </w:r>
    </w:p>
    <w:p w:rsidR="00495087" w:rsidRPr="00100DAB" w:rsidRDefault="00495087" w:rsidP="009811B5">
      <w:pPr>
        <w:numPr>
          <w:ilvl w:val="0"/>
          <w:numId w:val="4"/>
        </w:numPr>
        <w:spacing w:line="276" w:lineRule="auto"/>
        <w:rPr>
          <w:rFonts w:ascii="Calibri" w:hAnsi="Calibri"/>
          <w:sz w:val="28"/>
          <w:szCs w:val="28"/>
        </w:rPr>
      </w:pPr>
      <w:proofErr w:type="gramStart"/>
      <w:r w:rsidRPr="00835AA5">
        <w:rPr>
          <w:rFonts w:ascii="Calibri" w:hAnsi="Calibri"/>
          <w:sz w:val="28"/>
          <w:szCs w:val="28"/>
        </w:rPr>
        <w:t>act</w:t>
      </w:r>
      <w:proofErr w:type="gramEnd"/>
      <w:r w:rsidRPr="00835AA5">
        <w:rPr>
          <w:rFonts w:ascii="Calibri" w:hAnsi="Calibri"/>
          <w:sz w:val="28"/>
          <w:szCs w:val="28"/>
        </w:rPr>
        <w:t xml:space="preserve"> as an advocate. </w:t>
      </w:r>
    </w:p>
    <w:p w:rsidR="00495087" w:rsidRPr="00100DAB" w:rsidRDefault="00495087" w:rsidP="009811B5">
      <w:pPr>
        <w:numPr>
          <w:ilvl w:val="0"/>
          <w:numId w:val="1"/>
        </w:numPr>
        <w:spacing w:line="276" w:lineRule="auto"/>
        <w:rPr>
          <w:rFonts w:ascii="Calibri" w:hAnsi="Calibri"/>
          <w:sz w:val="28"/>
          <w:szCs w:val="28"/>
        </w:rPr>
      </w:pPr>
      <w:r w:rsidRPr="00835AA5">
        <w:rPr>
          <w:rFonts w:ascii="Calibri" w:hAnsi="Calibri"/>
          <w:sz w:val="28"/>
          <w:szCs w:val="28"/>
        </w:rPr>
        <w:t>To act as a</w:t>
      </w:r>
      <w:r>
        <w:rPr>
          <w:rFonts w:ascii="Calibri" w:hAnsi="Calibri"/>
          <w:sz w:val="28"/>
          <w:szCs w:val="28"/>
        </w:rPr>
        <w:t>n</w:t>
      </w:r>
      <w:r w:rsidRPr="00835AA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informal mentor</w:t>
      </w:r>
      <w:r w:rsidRPr="00835AA5">
        <w:rPr>
          <w:rFonts w:ascii="Calibri" w:hAnsi="Calibri"/>
          <w:sz w:val="28"/>
          <w:szCs w:val="28"/>
        </w:rPr>
        <w:t xml:space="preserve"> to another advisor for purposes of developing good practice and, when necessary, mutual support.</w:t>
      </w:r>
    </w:p>
    <w:p w:rsidR="00495087" w:rsidRPr="00100DAB" w:rsidRDefault="00495087" w:rsidP="009811B5">
      <w:pPr>
        <w:numPr>
          <w:ilvl w:val="0"/>
          <w:numId w:val="1"/>
        </w:numPr>
        <w:spacing w:line="276" w:lineRule="auto"/>
        <w:rPr>
          <w:rFonts w:ascii="Calibri" w:hAnsi="Calibri"/>
          <w:sz w:val="28"/>
          <w:szCs w:val="28"/>
        </w:rPr>
      </w:pPr>
      <w:r w:rsidRPr="00835AA5">
        <w:rPr>
          <w:rFonts w:ascii="Calibri" w:hAnsi="Calibri"/>
          <w:sz w:val="28"/>
          <w:szCs w:val="28"/>
        </w:rPr>
        <w:lastRenderedPageBreak/>
        <w:t xml:space="preserve">To maintain a thorough and up-to-date awareness of the relevant policies, procedures and guidance, particularly </w:t>
      </w:r>
      <w:r>
        <w:rPr>
          <w:rFonts w:ascii="Calibri" w:hAnsi="Calibri"/>
          <w:sz w:val="28"/>
          <w:szCs w:val="28"/>
        </w:rPr>
        <w:t>……..</w:t>
      </w:r>
    </w:p>
    <w:p w:rsidR="00495087" w:rsidRPr="00100DAB" w:rsidRDefault="00495087" w:rsidP="009811B5">
      <w:pPr>
        <w:numPr>
          <w:ilvl w:val="0"/>
          <w:numId w:val="1"/>
        </w:numPr>
        <w:spacing w:line="276" w:lineRule="auto"/>
        <w:rPr>
          <w:rFonts w:ascii="Calibri" w:hAnsi="Calibri"/>
          <w:sz w:val="28"/>
          <w:szCs w:val="28"/>
        </w:rPr>
      </w:pPr>
      <w:r w:rsidRPr="00835AA5">
        <w:rPr>
          <w:rFonts w:ascii="Calibri" w:hAnsi="Calibri"/>
          <w:sz w:val="28"/>
          <w:szCs w:val="28"/>
        </w:rPr>
        <w:t xml:space="preserve">To maintain a practical and up-to-date awareness of the relevant legislation </w:t>
      </w:r>
      <w:r>
        <w:rPr>
          <w:rFonts w:ascii="Calibri" w:hAnsi="Calibri"/>
          <w:sz w:val="28"/>
          <w:szCs w:val="28"/>
        </w:rPr>
        <w:t>by attending the relevant training.</w:t>
      </w:r>
    </w:p>
    <w:p w:rsidR="00495087" w:rsidRPr="00100DAB" w:rsidRDefault="00495087" w:rsidP="009811B5">
      <w:pPr>
        <w:numPr>
          <w:ilvl w:val="0"/>
          <w:numId w:val="1"/>
        </w:numPr>
        <w:spacing w:line="276" w:lineRule="auto"/>
        <w:rPr>
          <w:rFonts w:ascii="Calibri" w:hAnsi="Calibri"/>
          <w:sz w:val="28"/>
          <w:szCs w:val="28"/>
        </w:rPr>
      </w:pPr>
      <w:r w:rsidRPr="00835AA5">
        <w:rPr>
          <w:rFonts w:ascii="Calibri" w:hAnsi="Calibri"/>
          <w:sz w:val="28"/>
          <w:szCs w:val="28"/>
        </w:rPr>
        <w:t>To actively participate in the Bullying and Harassment network by regularly attending its meetings plus any training events arranged to develop and disseminate good practice and provide peer support.</w:t>
      </w:r>
    </w:p>
    <w:p w:rsidR="00495087" w:rsidRPr="00100DAB" w:rsidRDefault="00495087" w:rsidP="009811B5">
      <w:pPr>
        <w:numPr>
          <w:ilvl w:val="0"/>
          <w:numId w:val="1"/>
        </w:numPr>
        <w:spacing w:line="276" w:lineRule="auto"/>
        <w:rPr>
          <w:rFonts w:ascii="Calibri" w:hAnsi="Calibri"/>
          <w:sz w:val="28"/>
          <w:szCs w:val="28"/>
        </w:rPr>
      </w:pPr>
      <w:r w:rsidRPr="00835AA5">
        <w:rPr>
          <w:rFonts w:ascii="Calibri" w:hAnsi="Calibri"/>
          <w:sz w:val="28"/>
          <w:szCs w:val="28"/>
        </w:rPr>
        <w:t>To assist in reviewing the relevant policies, procedures and published guidance on bullying and harassment.</w:t>
      </w:r>
    </w:p>
    <w:p w:rsidR="00495087" w:rsidRPr="00100DAB" w:rsidRDefault="00495087" w:rsidP="009811B5">
      <w:pPr>
        <w:numPr>
          <w:ilvl w:val="0"/>
          <w:numId w:val="1"/>
        </w:numPr>
        <w:spacing w:line="276" w:lineRule="auto"/>
        <w:rPr>
          <w:rFonts w:ascii="Calibri" w:hAnsi="Calibri"/>
          <w:sz w:val="28"/>
          <w:szCs w:val="28"/>
        </w:rPr>
      </w:pPr>
      <w:r w:rsidRPr="00835AA5">
        <w:rPr>
          <w:rFonts w:ascii="Calibri" w:hAnsi="Calibri"/>
          <w:sz w:val="28"/>
          <w:szCs w:val="28"/>
        </w:rPr>
        <w:t>To maintain the confidentiality of the service, except where there is an unacceptable risk to the complainant or any other person.</w:t>
      </w:r>
    </w:p>
    <w:p w:rsidR="00495087" w:rsidRPr="00100DAB" w:rsidRDefault="00495087" w:rsidP="009811B5">
      <w:pPr>
        <w:numPr>
          <w:ilvl w:val="0"/>
          <w:numId w:val="1"/>
        </w:numPr>
        <w:spacing w:line="276" w:lineRule="auto"/>
        <w:rPr>
          <w:rFonts w:ascii="Calibri" w:hAnsi="Calibri"/>
          <w:sz w:val="28"/>
          <w:szCs w:val="28"/>
        </w:rPr>
      </w:pPr>
      <w:r w:rsidRPr="00835AA5">
        <w:rPr>
          <w:rFonts w:ascii="Calibri" w:hAnsi="Calibri"/>
          <w:sz w:val="28"/>
          <w:szCs w:val="28"/>
        </w:rPr>
        <w:t>To fully observe all procedures for reporting casework to the Network Co-ordinator.</w:t>
      </w:r>
    </w:p>
    <w:p w:rsidR="00495087" w:rsidRPr="00100DAB" w:rsidRDefault="00495087" w:rsidP="009811B5">
      <w:pPr>
        <w:spacing w:line="276" w:lineRule="auto"/>
        <w:rPr>
          <w:rFonts w:ascii="Calibri" w:hAnsi="Calibri"/>
          <w:sz w:val="28"/>
          <w:szCs w:val="28"/>
        </w:rPr>
      </w:pPr>
    </w:p>
    <w:p w:rsidR="00495087" w:rsidRPr="00100DAB" w:rsidRDefault="00495087" w:rsidP="009811B5">
      <w:pPr>
        <w:spacing w:line="276" w:lineRule="auto"/>
        <w:rPr>
          <w:rFonts w:ascii="Calibri" w:hAnsi="Calibri"/>
          <w:sz w:val="28"/>
          <w:szCs w:val="28"/>
        </w:rPr>
      </w:pPr>
    </w:p>
    <w:p w:rsidR="00495087" w:rsidRPr="00100DAB" w:rsidRDefault="00495087" w:rsidP="009811B5">
      <w:pPr>
        <w:spacing w:line="276" w:lineRule="auto"/>
        <w:rPr>
          <w:rFonts w:ascii="Calibri" w:hAnsi="Calibri"/>
          <w:sz w:val="28"/>
          <w:szCs w:val="28"/>
        </w:rPr>
      </w:pPr>
    </w:p>
    <w:p w:rsidR="00495087" w:rsidRPr="004A3856" w:rsidRDefault="00495087" w:rsidP="004A3856">
      <w:pPr>
        <w:spacing w:line="276" w:lineRule="auto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  <w:r w:rsidRPr="004A3856">
        <w:rPr>
          <w:rFonts w:ascii="Calibri" w:hAnsi="Calibri"/>
          <w:b/>
          <w:bCs/>
          <w:color w:val="365F91" w:themeColor="accent1" w:themeShade="BF"/>
          <w:sz w:val="28"/>
          <w:szCs w:val="28"/>
        </w:rPr>
        <w:t>Person Specification</w:t>
      </w:r>
    </w:p>
    <w:p w:rsidR="00495087" w:rsidRPr="00100DAB" w:rsidRDefault="00495087" w:rsidP="009811B5">
      <w:pPr>
        <w:spacing w:line="276" w:lineRule="auto"/>
        <w:rPr>
          <w:rFonts w:ascii="Calibri" w:hAnsi="Calibri"/>
          <w:sz w:val="28"/>
          <w:szCs w:val="28"/>
        </w:rPr>
      </w:pPr>
    </w:p>
    <w:p w:rsidR="00495087" w:rsidRPr="00100DAB" w:rsidRDefault="00495087" w:rsidP="009811B5">
      <w:pPr>
        <w:numPr>
          <w:ilvl w:val="0"/>
          <w:numId w:val="2"/>
        </w:numPr>
        <w:spacing w:line="276" w:lineRule="auto"/>
        <w:rPr>
          <w:rFonts w:ascii="Calibri" w:hAnsi="Calibri"/>
          <w:sz w:val="28"/>
          <w:szCs w:val="28"/>
        </w:rPr>
      </w:pPr>
      <w:r w:rsidRPr="00835AA5">
        <w:rPr>
          <w:rFonts w:ascii="Calibri" w:hAnsi="Calibri"/>
          <w:sz w:val="28"/>
          <w:szCs w:val="28"/>
        </w:rPr>
        <w:t>Effective listening skills</w:t>
      </w:r>
    </w:p>
    <w:p w:rsidR="00495087" w:rsidRDefault="00495087" w:rsidP="009811B5">
      <w:pPr>
        <w:numPr>
          <w:ilvl w:val="0"/>
          <w:numId w:val="2"/>
        </w:num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Ability to show empathy </w:t>
      </w:r>
    </w:p>
    <w:p w:rsidR="00495087" w:rsidRDefault="00495087" w:rsidP="009811B5">
      <w:pPr>
        <w:numPr>
          <w:ilvl w:val="0"/>
          <w:numId w:val="2"/>
        </w:num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Ability to show </w:t>
      </w:r>
      <w:proofErr w:type="spellStart"/>
      <w:r>
        <w:rPr>
          <w:rFonts w:ascii="Calibri" w:hAnsi="Calibri"/>
          <w:sz w:val="28"/>
          <w:szCs w:val="28"/>
        </w:rPr>
        <w:t>ongoing</w:t>
      </w:r>
      <w:proofErr w:type="spellEnd"/>
      <w:r>
        <w:rPr>
          <w:rFonts w:ascii="Calibri" w:hAnsi="Calibri"/>
          <w:sz w:val="28"/>
          <w:szCs w:val="28"/>
        </w:rPr>
        <w:t xml:space="preserve"> respect and due regard for employees</w:t>
      </w:r>
    </w:p>
    <w:p w:rsidR="00495087" w:rsidRPr="00100DAB" w:rsidRDefault="00495087" w:rsidP="009811B5">
      <w:pPr>
        <w:numPr>
          <w:ilvl w:val="0"/>
          <w:numId w:val="2"/>
        </w:numPr>
        <w:spacing w:line="276" w:lineRule="auto"/>
        <w:rPr>
          <w:rFonts w:ascii="Calibri" w:hAnsi="Calibri"/>
          <w:sz w:val="28"/>
          <w:szCs w:val="28"/>
        </w:rPr>
      </w:pPr>
      <w:r w:rsidRPr="00835AA5">
        <w:rPr>
          <w:rFonts w:ascii="Calibri" w:hAnsi="Calibri"/>
          <w:sz w:val="28"/>
          <w:szCs w:val="28"/>
        </w:rPr>
        <w:t>Commitment to principles of equality and diversity</w:t>
      </w:r>
    </w:p>
    <w:p w:rsidR="00495087" w:rsidRPr="00100DAB" w:rsidRDefault="00495087" w:rsidP="009811B5">
      <w:pPr>
        <w:numPr>
          <w:ilvl w:val="0"/>
          <w:numId w:val="2"/>
        </w:numPr>
        <w:spacing w:line="276" w:lineRule="auto"/>
        <w:rPr>
          <w:rFonts w:ascii="Calibri" w:hAnsi="Calibri"/>
          <w:sz w:val="28"/>
          <w:szCs w:val="28"/>
        </w:rPr>
      </w:pPr>
      <w:r w:rsidRPr="00835AA5">
        <w:rPr>
          <w:rFonts w:ascii="Calibri" w:hAnsi="Calibri"/>
          <w:sz w:val="28"/>
          <w:szCs w:val="28"/>
        </w:rPr>
        <w:t xml:space="preserve">Experience of dealing </w:t>
      </w:r>
      <w:r>
        <w:rPr>
          <w:rFonts w:ascii="Calibri" w:hAnsi="Calibri"/>
          <w:sz w:val="28"/>
          <w:szCs w:val="28"/>
        </w:rPr>
        <w:t xml:space="preserve">effectively </w:t>
      </w:r>
      <w:r w:rsidRPr="00835AA5">
        <w:rPr>
          <w:rFonts w:ascii="Calibri" w:hAnsi="Calibri"/>
          <w:sz w:val="28"/>
          <w:szCs w:val="28"/>
        </w:rPr>
        <w:t>with sensitive issues</w:t>
      </w:r>
    </w:p>
    <w:p w:rsidR="00495087" w:rsidRPr="00100DAB" w:rsidRDefault="00495087" w:rsidP="009811B5">
      <w:pPr>
        <w:numPr>
          <w:ilvl w:val="0"/>
          <w:numId w:val="2"/>
        </w:numPr>
        <w:spacing w:line="276" w:lineRule="auto"/>
        <w:rPr>
          <w:rFonts w:ascii="Calibri" w:hAnsi="Calibri"/>
          <w:sz w:val="28"/>
          <w:szCs w:val="28"/>
        </w:rPr>
      </w:pPr>
      <w:r w:rsidRPr="00835AA5">
        <w:rPr>
          <w:rFonts w:ascii="Calibri" w:hAnsi="Calibri"/>
          <w:sz w:val="28"/>
          <w:szCs w:val="28"/>
        </w:rPr>
        <w:t>Experience of dealing with people in emotional situations</w:t>
      </w:r>
    </w:p>
    <w:p w:rsidR="00495087" w:rsidRPr="00100DAB" w:rsidRDefault="00495087" w:rsidP="009811B5">
      <w:pPr>
        <w:numPr>
          <w:ilvl w:val="0"/>
          <w:numId w:val="2"/>
        </w:numPr>
        <w:spacing w:line="276" w:lineRule="auto"/>
        <w:rPr>
          <w:rFonts w:ascii="Calibri" w:hAnsi="Calibri"/>
          <w:sz w:val="28"/>
          <w:szCs w:val="28"/>
        </w:rPr>
      </w:pPr>
      <w:r w:rsidRPr="00835AA5">
        <w:rPr>
          <w:rFonts w:ascii="Calibri" w:hAnsi="Calibri"/>
          <w:sz w:val="28"/>
          <w:szCs w:val="28"/>
        </w:rPr>
        <w:t>Ability to maintain confidentiality where appropriate</w:t>
      </w:r>
    </w:p>
    <w:p w:rsidR="00495087" w:rsidRDefault="00495087" w:rsidP="009811B5">
      <w:pPr>
        <w:numPr>
          <w:ilvl w:val="0"/>
          <w:numId w:val="2"/>
        </w:numPr>
        <w:spacing w:line="276" w:lineRule="auto"/>
        <w:rPr>
          <w:rFonts w:ascii="Calibri" w:hAnsi="Calibri"/>
          <w:sz w:val="28"/>
          <w:szCs w:val="28"/>
        </w:rPr>
      </w:pPr>
      <w:r w:rsidRPr="00835AA5">
        <w:rPr>
          <w:rFonts w:ascii="Calibri" w:hAnsi="Calibri"/>
          <w:sz w:val="28"/>
          <w:szCs w:val="28"/>
        </w:rPr>
        <w:t>Ability to maintain up to date knowledge of relevant legislation, policies, and procedures relevant to the role</w:t>
      </w:r>
    </w:p>
    <w:p w:rsidR="00495087" w:rsidRDefault="00495087" w:rsidP="009811B5">
      <w:pPr>
        <w:numPr>
          <w:ilvl w:val="0"/>
          <w:numId w:val="2"/>
        </w:num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Ability to maintain a professional distance in handling casework</w:t>
      </w:r>
    </w:p>
    <w:p w:rsidR="00495087" w:rsidRDefault="00495087" w:rsidP="00495087">
      <w:pPr>
        <w:spacing w:line="360" w:lineRule="auto"/>
        <w:ind w:left="360"/>
        <w:rPr>
          <w:rFonts w:ascii="Calibri" w:hAnsi="Calibri"/>
          <w:sz w:val="28"/>
          <w:szCs w:val="28"/>
        </w:rPr>
      </w:pPr>
    </w:p>
    <w:p w:rsidR="00495087" w:rsidRDefault="00495087" w:rsidP="00A47A01">
      <w:pPr>
        <w:spacing w:line="36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***************</w:t>
      </w:r>
    </w:p>
    <w:p w:rsidR="00495087" w:rsidRDefault="00495087" w:rsidP="00495087">
      <w:pPr>
        <w:ind w:left="344"/>
        <w:rPr>
          <w:b/>
        </w:rPr>
      </w:pPr>
    </w:p>
    <w:p w:rsidR="00C93080" w:rsidRDefault="00C93080"/>
    <w:sectPr w:rsidR="00C93080" w:rsidSect="004A3856"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1B" w:rsidRDefault="008F6E1B" w:rsidP="00495087">
      <w:r>
        <w:separator/>
      </w:r>
    </w:p>
  </w:endnote>
  <w:endnote w:type="continuationSeparator" w:id="0">
    <w:p w:rsidR="008F6E1B" w:rsidRDefault="008F6E1B" w:rsidP="0049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56" w:rsidRPr="004A3856" w:rsidRDefault="004A3856" w:rsidP="004A3856">
    <w:pPr>
      <w:pStyle w:val="Footer"/>
      <w:jc w:val="center"/>
      <w:rPr>
        <w:i/>
        <w:color w:val="365F91" w:themeColor="accent1" w:themeShade="BF"/>
      </w:rPr>
    </w:pPr>
    <w:r>
      <w:rPr>
        <w:noProof/>
        <w:lang w:eastAsia="en-GB"/>
      </w:rPr>
      <w:drawing>
        <wp:inline distT="0" distB="0" distL="0" distR="0" wp14:anchorId="1AD6BC92" wp14:editId="3B0CDE0B">
          <wp:extent cx="1395733" cy="666750"/>
          <wp:effectExtent l="0" t="0" r="0" b="0"/>
          <wp:docPr id="1" name="Picture 1" descr="C:\Users\Sarah\Documents\Conflict Masters\Logo - 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\Documents\Conflict Masters\Logo - 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571" cy="672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856" w:rsidRDefault="004A3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1B" w:rsidRDefault="008F6E1B" w:rsidP="00495087">
      <w:r>
        <w:separator/>
      </w:r>
    </w:p>
  </w:footnote>
  <w:footnote w:type="continuationSeparator" w:id="0">
    <w:p w:rsidR="008F6E1B" w:rsidRDefault="008F6E1B" w:rsidP="0049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A47"/>
    <w:multiLevelType w:val="hybridMultilevel"/>
    <w:tmpl w:val="9EF2537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690B70"/>
    <w:multiLevelType w:val="hybridMultilevel"/>
    <w:tmpl w:val="10EECAA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2479A9"/>
    <w:multiLevelType w:val="hybridMultilevel"/>
    <w:tmpl w:val="4CA6CEE0"/>
    <w:lvl w:ilvl="0" w:tplc="2904E62C">
      <w:start w:val="1"/>
      <w:numFmt w:val="bullet"/>
      <w:lvlText w:val=""/>
      <w:lvlJc w:val="left"/>
      <w:pPr>
        <w:tabs>
          <w:tab w:val="num" w:pos="700"/>
        </w:tabs>
        <w:ind w:left="700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">
    <w:nsid w:val="7C3A7E44"/>
    <w:multiLevelType w:val="hybridMultilevel"/>
    <w:tmpl w:val="81CE2D3A"/>
    <w:lvl w:ilvl="0" w:tplc="3D18172A">
      <w:start w:val="1"/>
      <w:numFmt w:val="bullet"/>
      <w:lvlText w:val="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87"/>
    <w:rsid w:val="00495087"/>
    <w:rsid w:val="004A3856"/>
    <w:rsid w:val="00597CB6"/>
    <w:rsid w:val="006B0A58"/>
    <w:rsid w:val="008F6E1B"/>
    <w:rsid w:val="009811B5"/>
    <w:rsid w:val="00A47A01"/>
    <w:rsid w:val="00C93080"/>
    <w:rsid w:val="00E2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87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950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95087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semiHidden/>
    <w:rsid w:val="004950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87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A3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856"/>
    <w:rPr>
      <w:rFonts w:ascii="Arial" w:eastAsia="SimSu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856"/>
    <w:rPr>
      <w:rFonts w:ascii="Arial" w:eastAsia="SimSu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87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950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95087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semiHidden/>
    <w:rsid w:val="004950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87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A3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856"/>
    <w:rPr>
      <w:rFonts w:ascii="Arial" w:eastAsia="SimSu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856"/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11A8-3EFE-466F-B0FC-6DFA6DBA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 </cp:lastModifiedBy>
  <cp:revision>2</cp:revision>
  <dcterms:created xsi:type="dcterms:W3CDTF">2013-10-30T14:40:00Z</dcterms:created>
  <dcterms:modified xsi:type="dcterms:W3CDTF">2013-10-30T14:40:00Z</dcterms:modified>
</cp:coreProperties>
</file>